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8DF72">
      <w:pPr>
        <w:jc w:val="center"/>
        <w:outlineLvl w:val="0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高效液相</w:t>
      </w:r>
      <w:r>
        <w:rPr>
          <w:rFonts w:hint="eastAsia" w:ascii="Times New Roman" w:hAnsi="Times New Roman" w:cs="Times New Roman"/>
          <w:b/>
          <w:bCs/>
          <w:sz w:val="40"/>
          <w:szCs w:val="40"/>
          <w:lang w:val="en-US" w:eastAsia="zh-CN"/>
        </w:rPr>
        <w:t>色谱仪</w:t>
      </w:r>
      <w:r>
        <w:rPr>
          <w:rFonts w:ascii="Times New Roman" w:hAnsi="Times New Roman" w:cs="Times New Roman"/>
          <w:b/>
          <w:bCs/>
          <w:sz w:val="40"/>
          <w:szCs w:val="40"/>
        </w:rPr>
        <w:t>参数要求</w:t>
      </w:r>
    </w:p>
    <w:p w14:paraId="449D45A0">
      <w:pPr>
        <w:jc w:val="center"/>
        <w:outlineLvl w:val="0"/>
        <w:rPr>
          <w:rFonts w:ascii="Times New Roman" w:hAnsi="Times New Roman" w:cs="Times New Roman"/>
          <w:b/>
          <w:bCs/>
          <w:sz w:val="36"/>
          <w:szCs w:val="36"/>
        </w:rPr>
      </w:pPr>
    </w:p>
    <w:p w14:paraId="66AC9069">
      <w:pPr>
        <w:numPr>
          <w:ilvl w:val="0"/>
          <w:numId w:val="1"/>
        </w:numPr>
        <w:outlineLvl w:val="0"/>
        <w:rPr>
          <w:rFonts w:hint="eastAsia" w:ascii="Times New Roman" w:hAnsi="Times New Roman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6"/>
          <w:szCs w:val="36"/>
          <w:lang w:val="en-US" w:eastAsia="zh-CN"/>
        </w:rPr>
        <w:t>设备用途</w:t>
      </w:r>
    </w:p>
    <w:p w14:paraId="21709254">
      <w:pPr>
        <w:numPr>
          <w:numId w:val="0"/>
        </w:num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一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）</w:t>
      </w:r>
      <w:r>
        <w:rPr>
          <w:rFonts w:ascii="Times New Roman" w:hAnsi="Times New Roman" w:cs="Times New Roman"/>
          <w:b/>
          <w:bCs/>
          <w:sz w:val="28"/>
          <w:szCs w:val="28"/>
        </w:rPr>
        <w:t>分离功能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HPLC利用液相流动相和色谱柱固定相的不同亲和力，将复杂混合物中的成分分离开来。通过改变色谱条件（如流动相组成、流速、温度、柱类型等），可以实现对不同极性和性质化合物的精确分离。</w:t>
      </w:r>
    </w:p>
    <w:p w14:paraId="76AA5AA8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）</w:t>
      </w:r>
      <w:r>
        <w:rPr>
          <w:rFonts w:ascii="Times New Roman" w:hAnsi="Times New Roman" w:cs="Times New Roman"/>
          <w:b/>
          <w:bCs/>
          <w:sz w:val="28"/>
          <w:szCs w:val="28"/>
        </w:rPr>
        <w:t>定性功能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HPLC可与检测器（如二极管阵列检测器（DAD）、紫外检测器（UV）、质谱检测器（MS））联用，通过物质的保留时间、紫外吸收光谱或质谱特征实现对未知物质的定性鉴别。</w:t>
      </w:r>
    </w:p>
    <w:p w14:paraId="0064DD71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）</w:t>
      </w:r>
      <w:r>
        <w:rPr>
          <w:rFonts w:ascii="Times New Roman" w:hAnsi="Times New Roman" w:cs="Times New Roman"/>
          <w:b/>
          <w:bCs/>
          <w:sz w:val="28"/>
          <w:szCs w:val="28"/>
        </w:rPr>
        <w:t>定量功能：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通过标准曲线法或内标法，结合峰面积或峰高，准确测定样品中目标化合物的含量，具有灵敏度高、重复性好、准确性强的优点。</w:t>
      </w:r>
    </w:p>
    <w:p w14:paraId="388FD5A6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）</w:t>
      </w:r>
      <w:r>
        <w:rPr>
          <w:rFonts w:ascii="Times New Roman" w:hAnsi="Times New Roman" w:cs="Times New Roman"/>
          <w:b/>
          <w:bCs/>
          <w:sz w:val="28"/>
          <w:szCs w:val="28"/>
        </w:rPr>
        <w:t>纯化功能：</w:t>
      </w:r>
      <w:r>
        <w:rPr>
          <w:rFonts w:ascii="Times New Roman" w:hAnsi="Times New Roman" w:cs="Times New Roman"/>
          <w:sz w:val="28"/>
          <w:szCs w:val="28"/>
        </w:rPr>
        <w:br w:type="textWrapping"/>
      </w:r>
      <w:r>
        <w:rPr>
          <w:rFonts w:ascii="Times New Roman" w:hAnsi="Times New Roman" w:cs="Times New Roman"/>
          <w:sz w:val="28"/>
          <w:szCs w:val="28"/>
        </w:rPr>
        <w:t>HPLC结合制备色谱柱可用于样品纯化和制备，能从复杂样品中制备获得高纯度化合物，广泛用于天然产物提取、药物合成中间体制备等。</w:t>
      </w:r>
    </w:p>
    <w:p w14:paraId="32FF0CF6">
      <w:pPr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二、</w:t>
      </w:r>
      <w:r>
        <w:rPr>
          <w:rFonts w:ascii="Times New Roman" w:hAnsi="Times New Roman" w:cs="Times New Roman"/>
          <w:b/>
          <w:bCs/>
          <w:sz w:val="32"/>
          <w:szCs w:val="32"/>
        </w:rPr>
        <w:t>参数要求</w:t>
      </w:r>
    </w:p>
    <w:p w14:paraId="538E97B5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1、</w:t>
      </w:r>
      <w:r>
        <w:rPr>
          <w:rFonts w:ascii="Times New Roman" w:hAnsi="Times New Roman" w:cs="Times New Roman"/>
          <w:sz w:val="28"/>
          <w:szCs w:val="28"/>
        </w:rPr>
        <w:t>梯度模式：四元梯度</w:t>
      </w:r>
    </w:p>
    <w:p w14:paraId="2E145F75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2、</w:t>
      </w:r>
      <w:r>
        <w:rPr>
          <w:rFonts w:ascii="Times New Roman" w:hAnsi="Times New Roman" w:cs="Times New Roman"/>
          <w:sz w:val="28"/>
          <w:szCs w:val="28"/>
        </w:rPr>
        <w:t>流速范围：0.001-10.000 ml/min</w:t>
      </w:r>
    </w:p>
    <w:p w14:paraId="1F0F591F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3、</w:t>
      </w:r>
      <w:r>
        <w:rPr>
          <w:rFonts w:ascii="Times New Roman" w:hAnsi="Times New Roman" w:cs="Times New Roman"/>
          <w:sz w:val="28"/>
          <w:szCs w:val="28"/>
        </w:rPr>
        <w:t>最大耐压：6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0</w:t>
      </w:r>
      <w:r>
        <w:rPr>
          <w:rFonts w:ascii="Times New Roman" w:hAnsi="Times New Roman" w:cs="Times New Roman"/>
          <w:sz w:val="28"/>
          <w:szCs w:val="28"/>
        </w:rPr>
        <w:t>-70 MPa</w:t>
      </w:r>
    </w:p>
    <w:p w14:paraId="30EDE0B3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4、</w:t>
      </w:r>
      <w:r>
        <w:rPr>
          <w:rFonts w:ascii="Times New Roman" w:hAnsi="Times New Roman" w:cs="Times New Roman"/>
          <w:sz w:val="28"/>
          <w:szCs w:val="28"/>
        </w:rPr>
        <w:t>最大进样量：100ul至1000ul</w:t>
      </w:r>
    </w:p>
    <w:p w14:paraId="53B04362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5、</w:t>
      </w:r>
      <w:r>
        <w:rPr>
          <w:rFonts w:ascii="Times New Roman" w:hAnsi="Times New Roman" w:cs="Times New Roman"/>
          <w:sz w:val="28"/>
          <w:szCs w:val="28"/>
        </w:rPr>
        <w:t xml:space="preserve">进样器温度：1-45℃ </w:t>
      </w:r>
    </w:p>
    <w:p w14:paraId="2B657F53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6、</w:t>
      </w:r>
      <w:r>
        <w:rPr>
          <w:rFonts w:ascii="Times New Roman" w:hAnsi="Times New Roman" w:cs="Times New Roman"/>
          <w:sz w:val="28"/>
          <w:szCs w:val="28"/>
        </w:rPr>
        <w:t>进样器容量：96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-120位 2ml小瓶</w:t>
      </w:r>
    </w:p>
    <w:p w14:paraId="7B3A2FEA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7、</w:t>
      </w:r>
      <w:r>
        <w:rPr>
          <w:rFonts w:ascii="Times New Roman" w:hAnsi="Times New Roman" w:cs="Times New Roman"/>
          <w:sz w:val="28"/>
          <w:szCs w:val="28"/>
        </w:rPr>
        <w:t>柱温箱温度：1-50℃</w:t>
      </w:r>
    </w:p>
    <w:p w14:paraId="0790FB31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8、</w:t>
      </w:r>
      <w:r>
        <w:rPr>
          <w:rFonts w:ascii="Times New Roman" w:hAnsi="Times New Roman" w:cs="Times New Roman"/>
          <w:sz w:val="28"/>
          <w:szCs w:val="28"/>
        </w:rPr>
        <w:t>最高可容纳柱参数：可容纳300mm长柱，最多1-3根色谱柱</w:t>
      </w:r>
    </w:p>
    <w:p w14:paraId="43C8B34D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9、</w:t>
      </w:r>
      <w:r>
        <w:rPr>
          <w:rFonts w:ascii="Times New Roman" w:hAnsi="Times New Roman" w:cs="Times New Roman"/>
          <w:sz w:val="28"/>
          <w:szCs w:val="28"/>
        </w:rPr>
        <w:t>DAD检测器：</w:t>
      </w:r>
      <w:r>
        <w:rPr>
          <w:rFonts w:hint="default" w:ascii="Arial" w:hAnsi="Arial" w:cs="Arial"/>
          <w:sz w:val="28"/>
          <w:szCs w:val="28"/>
        </w:rPr>
        <w:t>≥</w:t>
      </w:r>
      <w:r>
        <w:rPr>
          <w:rFonts w:ascii="Times New Roman" w:hAnsi="Times New Roman" w:cs="Times New Roman"/>
          <w:sz w:val="28"/>
          <w:szCs w:val="28"/>
        </w:rPr>
        <w:t>1024个感光器件</w:t>
      </w:r>
    </w:p>
    <w:p w14:paraId="1736E183">
      <w:pPr>
        <w:outlineLvl w:val="0"/>
        <w:rPr>
          <w:rFonts w:hint="eastAsia"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10</w:t>
      </w:r>
      <w:r>
        <w:rPr>
          <w:rFonts w:hint="eastAsia" w:ascii="Times New Roman" w:hAnsi="Times New Roman" w:cs="Times New Roman"/>
          <w:sz w:val="28"/>
          <w:szCs w:val="28"/>
        </w:rPr>
        <w:t>样品残留：&lt;0.007%</w:t>
      </w:r>
    </w:p>
    <w:p w14:paraId="02BEFBC5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11、</w:t>
      </w:r>
      <w:r>
        <w:rPr>
          <w:rFonts w:ascii="Times New Roman" w:hAnsi="Times New Roman" w:cs="Times New Roman"/>
          <w:sz w:val="28"/>
          <w:szCs w:val="28"/>
        </w:rPr>
        <w:t>波长自校准：内置汞灯校准</w:t>
      </w:r>
    </w:p>
    <w:p w14:paraId="5257D352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12、</w:t>
      </w:r>
      <w:r>
        <w:rPr>
          <w:rFonts w:ascii="Times New Roman" w:hAnsi="Times New Roman" w:cs="Times New Roman"/>
          <w:sz w:val="28"/>
          <w:szCs w:val="28"/>
        </w:rPr>
        <w:t>最大采样速率：160Hz</w:t>
      </w:r>
    </w:p>
    <w:p w14:paraId="68DB4078">
      <w:pPr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13、</w:t>
      </w:r>
      <w:r>
        <w:rPr>
          <w:rFonts w:ascii="Times New Roman" w:hAnsi="Times New Roman" w:cs="Times New Roman"/>
          <w:sz w:val="28"/>
          <w:szCs w:val="28"/>
        </w:rPr>
        <w:t>参比背景拟合：多通道独立模式，参比波长按通道定义</w:t>
      </w:r>
    </w:p>
    <w:p w14:paraId="287E7497">
      <w:pPr>
        <w:pStyle w:val="5"/>
        <w:ind w:firstLine="0" w:firstLineChars="0"/>
        <w:rPr>
          <w:rFonts w:ascii="Times New Roman" w:hAnsi="Times New Roman" w:cs="Times New Roman"/>
          <w:b/>
          <w:sz w:val="40"/>
          <w:szCs w:val="40"/>
        </w:rPr>
      </w:pPr>
    </w:p>
    <w:p w14:paraId="0A9EB615">
      <w:pPr>
        <w:pStyle w:val="5"/>
        <w:ind w:firstLine="0" w:firstLineChars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配置清单</w:t>
      </w:r>
    </w:p>
    <w:p w14:paraId="5B13445E">
      <w:pPr>
        <w:rPr>
          <w:rFonts w:ascii="Times New Roman" w:hAnsi="Times New Roman" w:cs="Times New Roman"/>
        </w:rPr>
      </w:pPr>
    </w:p>
    <w:p w14:paraId="53A99552">
      <w:pPr>
        <w:rPr>
          <w:rFonts w:ascii="Times New Roman" w:hAnsi="Times New Roman" w:cs="Times New Roman"/>
        </w:rPr>
      </w:pPr>
    </w:p>
    <w:tbl>
      <w:tblPr>
        <w:tblStyle w:val="3"/>
        <w:tblW w:w="731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3555"/>
        <w:gridCol w:w="2205"/>
      </w:tblGrid>
      <w:tr w14:paraId="5FAB7B9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558" w:type="dxa"/>
            <w:tcBorders>
              <w:right w:val="single" w:color="auto" w:sz="4" w:space="0"/>
            </w:tcBorders>
          </w:tcPr>
          <w:p w14:paraId="4F8A5BA7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b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6"/>
              </w:rPr>
              <w:t>序号</w:t>
            </w:r>
          </w:p>
        </w:tc>
        <w:tc>
          <w:tcPr>
            <w:tcW w:w="3555" w:type="dxa"/>
            <w:tcBorders>
              <w:left w:val="single" w:color="auto" w:sz="4" w:space="0"/>
            </w:tcBorders>
          </w:tcPr>
          <w:p w14:paraId="5F63B67D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b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6"/>
              </w:rPr>
              <w:t>名称</w:t>
            </w:r>
          </w:p>
        </w:tc>
        <w:tc>
          <w:tcPr>
            <w:tcW w:w="2205" w:type="dxa"/>
          </w:tcPr>
          <w:p w14:paraId="1E318691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b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36"/>
              </w:rPr>
              <w:t>数量及单位</w:t>
            </w:r>
          </w:p>
        </w:tc>
      </w:tr>
      <w:tr w14:paraId="75A20D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58" w:type="dxa"/>
            <w:tcBorders>
              <w:right w:val="single" w:color="auto" w:sz="4" w:space="0"/>
            </w:tcBorders>
          </w:tcPr>
          <w:p w14:paraId="4FD2367A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</w:t>
            </w:r>
          </w:p>
        </w:tc>
        <w:tc>
          <w:tcPr>
            <w:tcW w:w="3555" w:type="dxa"/>
            <w:tcBorders>
              <w:left w:val="single" w:color="auto" w:sz="4" w:space="0"/>
            </w:tcBorders>
          </w:tcPr>
          <w:p w14:paraId="4AC1A397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pacing w:val="3"/>
                <w:sz w:val="28"/>
                <w:szCs w:val="36"/>
              </w:rPr>
              <w:t>泵系统</w:t>
            </w:r>
          </w:p>
        </w:tc>
        <w:tc>
          <w:tcPr>
            <w:tcW w:w="2205" w:type="dxa"/>
          </w:tcPr>
          <w:p w14:paraId="53A53809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1台</w:t>
            </w:r>
          </w:p>
        </w:tc>
      </w:tr>
      <w:tr w14:paraId="63B032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58" w:type="dxa"/>
            <w:tcBorders>
              <w:right w:val="single" w:color="auto" w:sz="4" w:space="0"/>
            </w:tcBorders>
          </w:tcPr>
          <w:p w14:paraId="5B70409C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2</w:t>
            </w:r>
          </w:p>
        </w:tc>
        <w:tc>
          <w:tcPr>
            <w:tcW w:w="3555" w:type="dxa"/>
            <w:tcBorders>
              <w:left w:val="single" w:color="auto" w:sz="4" w:space="0"/>
            </w:tcBorders>
          </w:tcPr>
          <w:p w14:paraId="696D4EF6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pacing w:val="5"/>
                <w:sz w:val="28"/>
                <w:szCs w:val="36"/>
              </w:rPr>
              <w:t>样品管理系统</w:t>
            </w:r>
          </w:p>
        </w:tc>
        <w:tc>
          <w:tcPr>
            <w:tcW w:w="2205" w:type="dxa"/>
          </w:tcPr>
          <w:p w14:paraId="247242E8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1台</w:t>
            </w:r>
          </w:p>
        </w:tc>
      </w:tr>
      <w:tr w14:paraId="01FEDD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8" w:type="dxa"/>
            <w:tcBorders>
              <w:right w:val="single" w:color="auto" w:sz="4" w:space="0"/>
            </w:tcBorders>
          </w:tcPr>
          <w:p w14:paraId="26661228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3</w:t>
            </w:r>
          </w:p>
        </w:tc>
        <w:tc>
          <w:tcPr>
            <w:tcW w:w="3555" w:type="dxa"/>
            <w:tcBorders>
              <w:left w:val="single" w:color="auto" w:sz="4" w:space="0"/>
            </w:tcBorders>
          </w:tcPr>
          <w:p w14:paraId="16958E97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pacing w:val="2"/>
                <w:sz w:val="28"/>
                <w:szCs w:val="36"/>
              </w:rPr>
              <w:t>柱温箱管理系统</w:t>
            </w:r>
          </w:p>
        </w:tc>
        <w:tc>
          <w:tcPr>
            <w:tcW w:w="2205" w:type="dxa"/>
          </w:tcPr>
          <w:p w14:paraId="7F0C8211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1台</w:t>
            </w:r>
          </w:p>
        </w:tc>
      </w:tr>
      <w:tr w14:paraId="7430010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8" w:type="dxa"/>
            <w:tcBorders>
              <w:right w:val="single" w:color="auto" w:sz="4" w:space="0"/>
            </w:tcBorders>
          </w:tcPr>
          <w:p w14:paraId="4D0D0641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4</w:t>
            </w:r>
          </w:p>
        </w:tc>
        <w:tc>
          <w:tcPr>
            <w:tcW w:w="3555" w:type="dxa"/>
            <w:tcBorders>
              <w:left w:val="single" w:color="auto" w:sz="4" w:space="0"/>
            </w:tcBorders>
          </w:tcPr>
          <w:p w14:paraId="07B5DB56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2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pacing w:val="2"/>
                <w:sz w:val="28"/>
                <w:szCs w:val="36"/>
              </w:rPr>
              <w:t>DAD检测器</w:t>
            </w:r>
          </w:p>
        </w:tc>
        <w:tc>
          <w:tcPr>
            <w:tcW w:w="2205" w:type="dxa"/>
          </w:tcPr>
          <w:p w14:paraId="66AC1F0C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1台</w:t>
            </w:r>
          </w:p>
        </w:tc>
      </w:tr>
      <w:tr w14:paraId="07AC25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8" w:type="dxa"/>
            <w:tcBorders>
              <w:right w:val="single" w:color="auto" w:sz="4" w:space="0"/>
            </w:tcBorders>
          </w:tcPr>
          <w:p w14:paraId="392B04D7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5</w:t>
            </w:r>
          </w:p>
        </w:tc>
        <w:tc>
          <w:tcPr>
            <w:tcW w:w="3555" w:type="dxa"/>
            <w:tcBorders>
              <w:left w:val="single" w:color="auto" w:sz="4" w:space="0"/>
            </w:tcBorders>
          </w:tcPr>
          <w:p w14:paraId="42657310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pacing w:val="2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spacing w:val="2"/>
                <w:sz w:val="28"/>
                <w:szCs w:val="36"/>
              </w:rPr>
              <w:t>电脑（工作台）</w:t>
            </w:r>
          </w:p>
        </w:tc>
        <w:tc>
          <w:tcPr>
            <w:tcW w:w="2205" w:type="dxa"/>
          </w:tcPr>
          <w:p w14:paraId="48FC072D">
            <w:pPr>
              <w:pStyle w:val="5"/>
              <w:ind w:firstLine="0" w:firstLineChars="0"/>
              <w:jc w:val="center"/>
              <w:rPr>
                <w:rFonts w:ascii="Times New Roman" w:hAnsi="Times New Roman" w:cs="Times New Roman"/>
                <w:sz w:val="28"/>
                <w:szCs w:val="36"/>
              </w:rPr>
            </w:pPr>
            <w:r>
              <w:rPr>
                <w:rFonts w:ascii="Times New Roman" w:hAnsi="Times New Roman" w:cs="Times New Roman"/>
                <w:sz w:val="28"/>
                <w:szCs w:val="36"/>
              </w:rPr>
              <w:t>1台</w:t>
            </w:r>
          </w:p>
        </w:tc>
      </w:tr>
    </w:tbl>
    <w:p w14:paraId="44A53BE9">
      <w:pPr>
        <w:pStyle w:val="5"/>
        <w:ind w:left="1843" w:firstLine="0" w:firstLineChars="0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FF409"/>
    <w:multiLevelType w:val="singleLevel"/>
    <w:tmpl w:val="BEBFF40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